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FF8" w:rsidRPr="00CF2FF8" w:rsidRDefault="00F72C62" w:rsidP="00FF27E4">
      <w:pPr>
        <w:ind w:left="-284"/>
        <w:jc w:val="center"/>
        <w:rPr>
          <w:rFonts w:asciiTheme="majorHAnsi" w:hAnsiTheme="majorHAnsi"/>
        </w:rPr>
      </w:pPr>
      <w:r w:rsidRPr="00CF2FF8">
        <w:rPr>
          <w:rFonts w:asciiTheme="majorHAnsi" w:hAnsiTheme="majorHAnsi" w:cs="Arial"/>
          <w:b/>
          <w:noProof/>
          <w:sz w:val="36"/>
          <w:szCs w:val="52"/>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1150620" cy="1486535"/>
                    </a:xfrm>
                    <a:prstGeom prst="rect">
                      <a:avLst/>
                    </a:prstGeom>
                    <a:noFill/>
                    <a:ln w="9525">
                      <a:noFill/>
                      <a:miter lim="800000"/>
                      <a:headEnd/>
                      <a:tailEnd/>
                    </a:ln>
                  </pic:spPr>
                </pic:pic>
              </a:graphicData>
            </a:graphic>
          </wp:anchor>
        </w:drawing>
      </w:r>
      <w:r w:rsidR="00CF2FF8" w:rsidRPr="00CF2FF8">
        <w:rPr>
          <w:rFonts w:asciiTheme="majorHAnsi" w:hAnsiTheme="majorHAnsi"/>
          <w:sz w:val="28"/>
          <w:szCs w:val="28"/>
        </w:rPr>
        <w:t>Motion adoptée par le Comité national</w:t>
      </w:r>
    </w:p>
    <w:p w:rsidR="00CF2FF8" w:rsidRPr="00CF2FF8" w:rsidRDefault="00CF2FF8" w:rsidP="00FF27E4">
      <w:pPr>
        <w:ind w:left="-284"/>
        <w:jc w:val="center"/>
        <w:rPr>
          <w:rFonts w:asciiTheme="majorHAnsi" w:hAnsiTheme="majorHAnsi"/>
        </w:rPr>
      </w:pPr>
      <w:proofErr w:type="gramStart"/>
      <w:r w:rsidRPr="00CF2FF8">
        <w:rPr>
          <w:rFonts w:asciiTheme="majorHAnsi" w:hAnsiTheme="majorHAnsi"/>
          <w:sz w:val="28"/>
          <w:szCs w:val="28"/>
        </w:rPr>
        <w:t>du</w:t>
      </w:r>
      <w:proofErr w:type="gramEnd"/>
      <w:r w:rsidRPr="00CF2FF8">
        <w:rPr>
          <w:rFonts w:asciiTheme="majorHAnsi" w:hAnsiTheme="majorHAnsi"/>
          <w:sz w:val="28"/>
          <w:szCs w:val="28"/>
        </w:rPr>
        <w:t xml:space="preserve"> SNJ-CGT le 18 décembre 2018</w:t>
      </w:r>
    </w:p>
    <w:p w:rsidR="001A2FED" w:rsidRPr="00CF2FF8" w:rsidRDefault="001A2FED" w:rsidP="00FF27E4">
      <w:pPr>
        <w:shd w:val="clear" w:color="auto" w:fill="FFFFFF"/>
        <w:spacing w:line="360" w:lineRule="auto"/>
        <w:ind w:left="-284"/>
        <w:jc w:val="center"/>
        <w:rPr>
          <w:rFonts w:asciiTheme="majorHAnsi" w:hAnsiTheme="majorHAnsi"/>
          <w:b/>
          <w:color w:val="26282A"/>
          <w:sz w:val="32"/>
          <w:szCs w:val="21"/>
          <w:lang w:eastAsia="fr-FR"/>
        </w:rPr>
      </w:pPr>
    </w:p>
    <w:p w:rsidR="001A2FED" w:rsidRDefault="001A2FED" w:rsidP="00FF27E4">
      <w:pPr>
        <w:ind w:left="-284"/>
        <w:rPr>
          <w:rFonts w:ascii="Arial" w:hAnsi="Arial"/>
          <w:color w:val="26282A"/>
          <w:sz w:val="24"/>
          <w:szCs w:val="21"/>
          <w:lang w:eastAsia="fr-FR"/>
        </w:rPr>
      </w:pPr>
    </w:p>
    <w:p w:rsidR="001A2FED" w:rsidRDefault="001A2FED" w:rsidP="00FF27E4">
      <w:pPr>
        <w:ind w:left="-284"/>
        <w:rPr>
          <w:rFonts w:ascii="Arial" w:hAnsi="Arial"/>
          <w:color w:val="26282A"/>
          <w:sz w:val="24"/>
          <w:szCs w:val="21"/>
          <w:lang w:eastAsia="fr-FR"/>
        </w:rPr>
      </w:pPr>
    </w:p>
    <w:p w:rsidR="00CF2FF8" w:rsidRDefault="00CF2FF8" w:rsidP="00FF27E4">
      <w:pPr>
        <w:ind w:left="-284"/>
        <w:jc w:val="center"/>
        <w:rPr>
          <w:sz w:val="28"/>
          <w:szCs w:val="28"/>
        </w:rPr>
      </w:pPr>
    </w:p>
    <w:p w:rsidR="00CF2FF8" w:rsidRPr="00FF27E4" w:rsidRDefault="00CF2FF8" w:rsidP="00FF27E4">
      <w:pPr>
        <w:ind w:left="-284"/>
        <w:rPr>
          <w:rFonts w:asciiTheme="majorHAnsi" w:hAnsiTheme="majorHAnsi"/>
          <w:sz w:val="26"/>
          <w:szCs w:val="26"/>
        </w:rPr>
      </w:pPr>
      <w:r w:rsidRPr="00FF27E4">
        <w:rPr>
          <w:rFonts w:asciiTheme="majorHAnsi" w:hAnsiTheme="majorHAnsi"/>
          <w:sz w:val="26"/>
          <w:szCs w:val="26"/>
        </w:rPr>
        <w:t xml:space="preserve">Le mouvement de colère des « gilets jaunes » doit </w:t>
      </w:r>
      <w:r w:rsidR="00FF27E4" w:rsidRPr="00FF27E4">
        <w:rPr>
          <w:rFonts w:asciiTheme="majorHAnsi" w:hAnsiTheme="majorHAnsi"/>
          <w:sz w:val="26"/>
          <w:szCs w:val="26"/>
        </w:rPr>
        <w:t>interroger la CGT toute entière.</w:t>
      </w:r>
    </w:p>
    <w:p w:rsidR="00CF2FF8" w:rsidRPr="00CF2FF8" w:rsidRDefault="00CF2FF8" w:rsidP="00FF27E4">
      <w:pPr>
        <w:ind w:left="-284"/>
        <w:rPr>
          <w:rFonts w:asciiTheme="majorHAnsi" w:hAnsiTheme="majorHAnsi"/>
          <w:sz w:val="24"/>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 xml:space="preserve">Le 6 décembre, le secrétaire général de la CGT a signé, aux côtés de six confédérations et fédérations, un communiqué dénonçant </w:t>
      </w:r>
      <w:r w:rsidRPr="00CF2FF8">
        <w:rPr>
          <w:rFonts w:asciiTheme="majorHAnsi" w:hAnsiTheme="majorHAnsi"/>
          <w:i/>
          <w:iCs/>
          <w:sz w:val="24"/>
          <w:szCs w:val="28"/>
        </w:rPr>
        <w:t>« toutes formes de violence dans l’expression des revendications »</w:t>
      </w:r>
      <w:r w:rsidRPr="00CF2FF8">
        <w:rPr>
          <w:rFonts w:asciiTheme="majorHAnsi" w:hAnsiTheme="majorHAnsi"/>
          <w:sz w:val="24"/>
          <w:szCs w:val="28"/>
        </w:rPr>
        <w:t xml:space="preserve">, oubliant par là-même la totale responsabilité d’un gouvernement sourd à toutes revendications et violemment répressif. De même, il affirmait que </w:t>
      </w:r>
      <w:r w:rsidRPr="00CF2FF8">
        <w:rPr>
          <w:rFonts w:asciiTheme="majorHAnsi" w:hAnsiTheme="majorHAnsi"/>
          <w:i/>
          <w:iCs/>
          <w:sz w:val="24"/>
          <w:szCs w:val="28"/>
        </w:rPr>
        <w:t>« le gouvernement, avec beaucoup de retard, a enfin ouvert les portes du dialogue ».</w:t>
      </w:r>
    </w:p>
    <w:p w:rsidR="00CF2FF8" w:rsidRPr="00CF2FF8" w:rsidRDefault="00CF2FF8" w:rsidP="00FF27E4">
      <w:pPr>
        <w:ind w:left="-284"/>
        <w:jc w:val="both"/>
        <w:rPr>
          <w:rFonts w:asciiTheme="majorHAnsi" w:hAnsiTheme="majorHAnsi"/>
          <w:sz w:val="16"/>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 xml:space="preserve">Nous, militants du SNJ-CGT, ne nous sommes pas reconnus dans cette position. </w:t>
      </w:r>
    </w:p>
    <w:p w:rsidR="00CF2FF8" w:rsidRPr="00CF2FF8" w:rsidRDefault="00CF2FF8" w:rsidP="00FF27E4">
      <w:pPr>
        <w:ind w:left="-284"/>
        <w:jc w:val="both"/>
        <w:rPr>
          <w:rFonts w:asciiTheme="majorHAnsi" w:hAnsiTheme="majorHAnsi"/>
          <w:sz w:val="16"/>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 xml:space="preserve">Deux heures plus tard, la CGT publiait un nouveau communiqué rappelant que la violence </w:t>
      </w:r>
      <w:r w:rsidRPr="00CF2FF8">
        <w:rPr>
          <w:rFonts w:asciiTheme="majorHAnsi" w:hAnsiTheme="majorHAnsi"/>
          <w:i/>
          <w:iCs/>
          <w:sz w:val="24"/>
          <w:szCs w:val="28"/>
        </w:rPr>
        <w:t>«</w:t>
      </w:r>
      <w:r w:rsidR="008E2D10">
        <w:rPr>
          <w:rFonts w:asciiTheme="majorHAnsi" w:hAnsiTheme="majorHAnsi"/>
          <w:i/>
          <w:iCs/>
          <w:sz w:val="24"/>
          <w:szCs w:val="28"/>
        </w:rPr>
        <w:t> </w:t>
      </w:r>
      <w:bookmarkStart w:id="0" w:name="_GoBack"/>
      <w:bookmarkEnd w:id="0"/>
      <w:r w:rsidRPr="00CF2FF8">
        <w:rPr>
          <w:rFonts w:asciiTheme="majorHAnsi" w:hAnsiTheme="majorHAnsi"/>
          <w:i/>
          <w:iCs/>
          <w:sz w:val="24"/>
          <w:szCs w:val="28"/>
        </w:rPr>
        <w:t>est d’abord sociale »</w:t>
      </w:r>
      <w:r w:rsidRPr="00CF2FF8">
        <w:rPr>
          <w:rFonts w:asciiTheme="majorHAnsi" w:hAnsiTheme="majorHAnsi"/>
          <w:sz w:val="24"/>
          <w:szCs w:val="28"/>
        </w:rPr>
        <w:t xml:space="preserve"> et indiquant que </w:t>
      </w:r>
      <w:r w:rsidRPr="00CF2FF8">
        <w:rPr>
          <w:rFonts w:asciiTheme="majorHAnsi" w:hAnsiTheme="majorHAnsi"/>
          <w:i/>
          <w:iCs/>
          <w:sz w:val="24"/>
          <w:szCs w:val="28"/>
        </w:rPr>
        <w:t>« répondre à ces urgences »</w:t>
      </w:r>
      <w:r w:rsidRPr="00CF2FF8">
        <w:rPr>
          <w:rFonts w:asciiTheme="majorHAnsi" w:hAnsiTheme="majorHAnsi"/>
          <w:sz w:val="24"/>
          <w:szCs w:val="28"/>
        </w:rPr>
        <w:t xml:space="preserve"> demeurait un préalable. Nous adhérons à ce nouveau texte, en accord avec la stratégie définie quelques jours plus tôt : lancer des actions sur les </w:t>
      </w:r>
      <w:r>
        <w:rPr>
          <w:rFonts w:asciiTheme="majorHAnsi" w:hAnsiTheme="majorHAnsi"/>
          <w:sz w:val="24"/>
          <w:szCs w:val="28"/>
        </w:rPr>
        <w:t>lieux de travail et dans la rue</w:t>
      </w:r>
      <w:r w:rsidRPr="00CF2FF8">
        <w:rPr>
          <w:rFonts w:asciiTheme="majorHAnsi" w:hAnsiTheme="majorHAnsi"/>
          <w:sz w:val="24"/>
          <w:szCs w:val="28"/>
        </w:rPr>
        <w:t xml:space="preserve"> en vue d’amplifier un mouvement dont nombre de demandes coïncident avec la plate-forme revendicative de la CGT (justice fiscale, hausse du SMIC et des bas salaires, des retraites, du pouvoir d’achat, développement des services publics...)</w:t>
      </w:r>
      <w:r>
        <w:rPr>
          <w:rFonts w:asciiTheme="majorHAnsi" w:hAnsiTheme="majorHAnsi"/>
          <w:sz w:val="24"/>
          <w:szCs w:val="28"/>
        </w:rPr>
        <w:t>.</w:t>
      </w:r>
    </w:p>
    <w:p w:rsidR="00CF2FF8" w:rsidRPr="00CF2FF8" w:rsidRDefault="00CF2FF8" w:rsidP="00FF27E4">
      <w:pPr>
        <w:ind w:left="-284"/>
        <w:jc w:val="both"/>
        <w:rPr>
          <w:rFonts w:asciiTheme="majorHAnsi" w:hAnsiTheme="majorHAnsi"/>
          <w:sz w:val="16"/>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Ces revirements ont rendu la position de la CGT confuse. Ils ont surtout signalé nos difficultés à appréhender ce mouvement des « gilets jaunes », qui montre, il est vrai, une défiance certaine envers les organisations syndicales.</w:t>
      </w:r>
    </w:p>
    <w:p w:rsidR="00CF2FF8" w:rsidRPr="00CF2FF8" w:rsidRDefault="00CF2FF8" w:rsidP="00FF27E4">
      <w:pPr>
        <w:ind w:left="-284"/>
        <w:jc w:val="both"/>
        <w:rPr>
          <w:rFonts w:asciiTheme="majorHAnsi" w:hAnsiTheme="majorHAnsi"/>
          <w:sz w:val="16"/>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La réponse ultra-répressive que le gouvernement apporte à ce mouvement (blessés graves, arrestations préventives, peines de prison ferme) s’inscrit dans la continuité du durcissement observé depuis les mobilisations contre la « loi Travail ». Comment ne pas s’alarmer de cette « politique de la peur » qui vise à dissuader les citoyens de  manifester ?</w:t>
      </w:r>
    </w:p>
    <w:p w:rsidR="00CF2FF8" w:rsidRPr="00CF2FF8" w:rsidRDefault="00CF2FF8" w:rsidP="00FF27E4">
      <w:pPr>
        <w:ind w:left="-284"/>
        <w:jc w:val="both"/>
        <w:rPr>
          <w:rFonts w:asciiTheme="majorHAnsi" w:hAnsiTheme="majorHAnsi"/>
          <w:sz w:val="16"/>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 xml:space="preserve">Qu’autant de gens se soient mobilisés sur des questions sociales en dehors de tout cadre syndical doit nous interpeller. Pourquoi, au cours des dernières années, nos mobilisations coordonnées et numériquement supérieures n’ont pas obtenu ce que les « gilets jaunes » ont arraché : un premier recul du gouvernement ? </w:t>
      </w:r>
    </w:p>
    <w:p w:rsidR="00CF2FF8" w:rsidRPr="00CF2FF8" w:rsidRDefault="00CF2FF8" w:rsidP="00FF27E4">
      <w:pPr>
        <w:ind w:left="-284"/>
        <w:jc w:val="both"/>
        <w:rPr>
          <w:rFonts w:asciiTheme="majorHAnsi" w:hAnsiTheme="majorHAnsi"/>
          <w:sz w:val="16"/>
        </w:rPr>
      </w:pPr>
    </w:p>
    <w:p w:rsidR="00CF2FF8" w:rsidRPr="00CF2FF8" w:rsidRDefault="00CF2FF8" w:rsidP="00FF27E4">
      <w:pPr>
        <w:ind w:left="-284"/>
        <w:jc w:val="both"/>
        <w:rPr>
          <w:rFonts w:asciiTheme="majorHAnsi" w:hAnsiTheme="majorHAnsi"/>
          <w:sz w:val="24"/>
        </w:rPr>
      </w:pPr>
      <w:r w:rsidRPr="00CF2FF8">
        <w:rPr>
          <w:rFonts w:asciiTheme="majorHAnsi" w:hAnsiTheme="majorHAnsi"/>
          <w:sz w:val="24"/>
          <w:szCs w:val="28"/>
        </w:rPr>
        <w:t>Passer à côté de ce mouvement, c’est manquer une occasion historique de se faire connaître auprès du plus grand nombre comme le syndicat du progrès social. Le pouvoir est fragilisé. La CGT doit jouer un rôle structurant et unifiant du mouvement social : pousser l’avantage partout où c’est possible et, ainsi, diffuser l’idée qu’ensemble et organisé, nous sommes plus forts.</w:t>
      </w:r>
    </w:p>
    <w:p w:rsidR="00CF2FF8" w:rsidRPr="00CF2FF8" w:rsidRDefault="00CF2FF8" w:rsidP="00FF27E4">
      <w:pPr>
        <w:ind w:left="-284"/>
        <w:jc w:val="both"/>
        <w:rPr>
          <w:rFonts w:asciiTheme="majorHAnsi" w:hAnsiTheme="majorHAnsi"/>
          <w:sz w:val="16"/>
        </w:rPr>
      </w:pPr>
    </w:p>
    <w:p w:rsidR="00CF2FF8" w:rsidRDefault="00CF2FF8" w:rsidP="00FF27E4">
      <w:pPr>
        <w:ind w:left="-284"/>
        <w:jc w:val="both"/>
        <w:rPr>
          <w:rFonts w:asciiTheme="majorHAnsi" w:hAnsiTheme="majorHAnsi"/>
          <w:sz w:val="24"/>
          <w:szCs w:val="28"/>
        </w:rPr>
      </w:pPr>
      <w:r w:rsidRPr="00CF2FF8">
        <w:rPr>
          <w:rFonts w:asciiTheme="majorHAnsi" w:hAnsiTheme="majorHAnsi"/>
          <w:sz w:val="24"/>
          <w:szCs w:val="28"/>
        </w:rPr>
        <w:t>Ces questions cruciales traversent déjà de nombreuses organisations CGT. A ce titre, nous souhaitons qu’un large débat sur nos orientations stratégiques soit ouvert à l’échelle confédérale, alors que le 52</w:t>
      </w:r>
      <w:r w:rsidRPr="00CF2FF8">
        <w:rPr>
          <w:rFonts w:asciiTheme="majorHAnsi" w:hAnsiTheme="majorHAnsi"/>
          <w:sz w:val="24"/>
          <w:szCs w:val="28"/>
          <w:vertAlign w:val="superscript"/>
        </w:rPr>
        <w:t>e</w:t>
      </w:r>
      <w:r w:rsidRPr="00CF2FF8">
        <w:rPr>
          <w:rFonts w:asciiTheme="majorHAnsi" w:hAnsiTheme="majorHAnsi"/>
          <w:sz w:val="24"/>
          <w:szCs w:val="28"/>
        </w:rPr>
        <w:t xml:space="preserve"> congrès approche.</w:t>
      </w:r>
    </w:p>
    <w:p w:rsidR="00CF2FF8" w:rsidRDefault="00CF2FF8" w:rsidP="00FF27E4">
      <w:pPr>
        <w:ind w:left="-284"/>
        <w:jc w:val="both"/>
        <w:rPr>
          <w:rFonts w:asciiTheme="majorHAnsi" w:hAnsiTheme="majorHAnsi"/>
          <w:sz w:val="24"/>
          <w:szCs w:val="28"/>
        </w:rPr>
      </w:pPr>
    </w:p>
    <w:p w:rsidR="00BF0208" w:rsidRPr="00FF27E4" w:rsidRDefault="00CF2FF8" w:rsidP="00FF27E4">
      <w:pPr>
        <w:ind w:left="-284"/>
        <w:jc w:val="both"/>
        <w:rPr>
          <w:rFonts w:asciiTheme="majorHAnsi" w:hAnsiTheme="majorHAnsi"/>
          <w:sz w:val="24"/>
        </w:rPr>
      </w:pPr>
      <w:r>
        <w:rPr>
          <w:rFonts w:asciiTheme="majorHAnsi" w:hAnsiTheme="majorHAnsi"/>
          <w:sz w:val="24"/>
          <w:szCs w:val="28"/>
        </w:rPr>
        <w:t>Montreuil, le 18 décembre 2018</w:t>
      </w:r>
    </w:p>
    <w:sectPr w:rsidR="00BF0208" w:rsidRPr="00FF27E4" w:rsidSect="00CF2FF8">
      <w:footerReference w:type="default" r:id="rId8"/>
      <w:pgSz w:w="11906" w:h="16838"/>
      <w:pgMar w:top="1417" w:right="1274" w:bottom="1135" w:left="1417" w:header="0"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59B" w:rsidRDefault="0017459B" w:rsidP="00004FBE">
      <w:r>
        <w:separator/>
      </w:r>
    </w:p>
  </w:endnote>
  <w:endnote w:type="continuationSeparator" w:id="0">
    <w:p w:rsidR="0017459B" w:rsidRDefault="0017459B" w:rsidP="000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59B" w:rsidRPr="006036CB" w:rsidRDefault="0017459B"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17459B" w:rsidRPr="004D5BBA" w:rsidRDefault="0017459B" w:rsidP="004D5BBA">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59B" w:rsidRDefault="0017459B" w:rsidP="00004FBE">
      <w:r>
        <w:separator/>
      </w:r>
    </w:p>
  </w:footnote>
  <w:footnote w:type="continuationSeparator" w:id="0">
    <w:p w:rsidR="0017459B" w:rsidRDefault="0017459B" w:rsidP="0000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96B9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925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F696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EC76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3667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36CB"/>
    <w:rsid w:val="00004FBE"/>
    <w:rsid w:val="000864B7"/>
    <w:rsid w:val="00112CAE"/>
    <w:rsid w:val="00171D75"/>
    <w:rsid w:val="0017459B"/>
    <w:rsid w:val="001A2FED"/>
    <w:rsid w:val="002745E6"/>
    <w:rsid w:val="00292DC5"/>
    <w:rsid w:val="00295696"/>
    <w:rsid w:val="00327396"/>
    <w:rsid w:val="00345019"/>
    <w:rsid w:val="003C532B"/>
    <w:rsid w:val="003C64C9"/>
    <w:rsid w:val="0047289A"/>
    <w:rsid w:val="004B0046"/>
    <w:rsid w:val="004C43E7"/>
    <w:rsid w:val="004D5BBA"/>
    <w:rsid w:val="00512A93"/>
    <w:rsid w:val="0054747D"/>
    <w:rsid w:val="005723C5"/>
    <w:rsid w:val="005D203D"/>
    <w:rsid w:val="006036CB"/>
    <w:rsid w:val="00654B13"/>
    <w:rsid w:val="006F06EC"/>
    <w:rsid w:val="00733825"/>
    <w:rsid w:val="00755196"/>
    <w:rsid w:val="007B2829"/>
    <w:rsid w:val="007F32FF"/>
    <w:rsid w:val="00833C25"/>
    <w:rsid w:val="00863446"/>
    <w:rsid w:val="00876574"/>
    <w:rsid w:val="008B4B65"/>
    <w:rsid w:val="008D1A9E"/>
    <w:rsid w:val="008E2400"/>
    <w:rsid w:val="008E2D10"/>
    <w:rsid w:val="00933A3C"/>
    <w:rsid w:val="009615C4"/>
    <w:rsid w:val="00967AFF"/>
    <w:rsid w:val="00997C34"/>
    <w:rsid w:val="009C1C5C"/>
    <w:rsid w:val="00A1004C"/>
    <w:rsid w:val="00A35AF7"/>
    <w:rsid w:val="00A3692C"/>
    <w:rsid w:val="00A755F1"/>
    <w:rsid w:val="00AA6EE2"/>
    <w:rsid w:val="00AC0884"/>
    <w:rsid w:val="00BC4F50"/>
    <w:rsid w:val="00BF0208"/>
    <w:rsid w:val="00C51510"/>
    <w:rsid w:val="00CB674D"/>
    <w:rsid w:val="00CF2FF8"/>
    <w:rsid w:val="00D02828"/>
    <w:rsid w:val="00D33D30"/>
    <w:rsid w:val="00DB5BAD"/>
    <w:rsid w:val="00E519A9"/>
    <w:rsid w:val="00E64BAF"/>
    <w:rsid w:val="00E87F66"/>
    <w:rsid w:val="00ED0D1C"/>
    <w:rsid w:val="00EE6890"/>
    <w:rsid w:val="00F00273"/>
    <w:rsid w:val="00F72C62"/>
    <w:rsid w:val="00FF27E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2E990"/>
  <w15:docId w15:val="{916BED15-2631-4027-AAD0-8F78519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fr-FR" w:eastAsia="fr-FR"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eastAsiaTheme="minorHAnsi" w:hAnsi="Times" w:cstheme="minorBidi"/>
      <w:sz w:val="20"/>
      <w:szCs w:val="20"/>
      <w:lang w:eastAsia="fr-FR"/>
    </w:rPr>
  </w:style>
  <w:style w:type="paragraph" w:customStyle="1" w:styleId="m7170717675722101039s9">
    <w:name w:val="m_7170717675722101039s9"/>
    <w:basedOn w:val="Normal"/>
    <w:rsid w:val="00112CAE"/>
    <w:pPr>
      <w:spacing w:beforeLines="1" w:afterLines="1"/>
    </w:pPr>
    <w:rPr>
      <w:rFonts w:ascii="Times" w:eastAsiaTheme="minorHAnsi" w:hAnsi="Times" w:cstheme="minorBidi"/>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34137">
      <w:bodyDiv w:val="1"/>
      <w:marLeft w:val="0"/>
      <w:marRight w:val="0"/>
      <w:marTop w:val="0"/>
      <w:marBottom w:val="0"/>
      <w:divBdr>
        <w:top w:val="none" w:sz="0" w:space="0" w:color="auto"/>
        <w:left w:val="none" w:sz="0" w:space="0" w:color="auto"/>
        <w:bottom w:val="none" w:sz="0" w:space="0" w:color="auto"/>
        <w:right w:val="none" w:sz="0" w:space="0" w:color="auto"/>
      </w:divBdr>
      <w:divsChild>
        <w:div w:id="699209713">
          <w:marLeft w:val="0"/>
          <w:marRight w:val="0"/>
          <w:marTop w:val="0"/>
          <w:marBottom w:val="0"/>
          <w:divBdr>
            <w:top w:val="none" w:sz="0" w:space="0" w:color="auto"/>
            <w:left w:val="none" w:sz="0" w:space="0" w:color="auto"/>
            <w:bottom w:val="none" w:sz="0" w:space="0" w:color="auto"/>
            <w:right w:val="none" w:sz="0" w:space="0" w:color="auto"/>
          </w:divBdr>
        </w:div>
        <w:div w:id="2021158202">
          <w:marLeft w:val="0"/>
          <w:marRight w:val="0"/>
          <w:marTop w:val="0"/>
          <w:marBottom w:val="0"/>
          <w:divBdr>
            <w:top w:val="none" w:sz="0" w:space="0" w:color="auto"/>
            <w:left w:val="none" w:sz="0" w:space="0" w:color="auto"/>
            <w:bottom w:val="none" w:sz="0" w:space="0" w:color="auto"/>
            <w:right w:val="none" w:sz="0" w:space="0" w:color="auto"/>
          </w:divBdr>
          <w:divsChild>
            <w:div w:id="118257476">
              <w:marLeft w:val="0"/>
              <w:marRight w:val="0"/>
              <w:marTop w:val="0"/>
              <w:marBottom w:val="0"/>
              <w:divBdr>
                <w:top w:val="none" w:sz="0" w:space="0" w:color="auto"/>
                <w:left w:val="none" w:sz="0" w:space="0" w:color="auto"/>
                <w:bottom w:val="none" w:sz="0" w:space="0" w:color="auto"/>
                <w:right w:val="none" w:sz="0" w:space="0" w:color="auto"/>
              </w:divBdr>
              <w:divsChild>
                <w:div w:id="1797217156">
                  <w:marLeft w:val="0"/>
                  <w:marRight w:val="0"/>
                  <w:marTop w:val="0"/>
                  <w:marBottom w:val="0"/>
                  <w:divBdr>
                    <w:top w:val="none" w:sz="0" w:space="0" w:color="auto"/>
                    <w:left w:val="none" w:sz="0" w:space="0" w:color="auto"/>
                    <w:bottom w:val="none" w:sz="0" w:space="0" w:color="auto"/>
                    <w:right w:val="none" w:sz="0" w:space="0" w:color="auto"/>
                  </w:divBdr>
                  <w:divsChild>
                    <w:div w:id="868571101">
                      <w:marLeft w:val="0"/>
                      <w:marRight w:val="0"/>
                      <w:marTop w:val="0"/>
                      <w:marBottom w:val="0"/>
                      <w:divBdr>
                        <w:top w:val="none" w:sz="0" w:space="0" w:color="auto"/>
                        <w:left w:val="none" w:sz="0" w:space="0" w:color="auto"/>
                        <w:bottom w:val="none" w:sz="0" w:space="0" w:color="auto"/>
                        <w:right w:val="none" w:sz="0" w:space="0" w:color="auto"/>
                      </w:divBdr>
                      <w:divsChild>
                        <w:div w:id="1292055517">
                          <w:marLeft w:val="0"/>
                          <w:marRight w:val="0"/>
                          <w:marTop w:val="0"/>
                          <w:marBottom w:val="0"/>
                          <w:divBdr>
                            <w:top w:val="none" w:sz="0" w:space="0" w:color="auto"/>
                            <w:left w:val="none" w:sz="0" w:space="0" w:color="auto"/>
                            <w:bottom w:val="none" w:sz="0" w:space="0" w:color="auto"/>
                            <w:right w:val="none" w:sz="0" w:space="0" w:color="auto"/>
                          </w:divBdr>
                          <w:divsChild>
                            <w:div w:id="1261990245">
                              <w:marLeft w:val="0"/>
                              <w:marRight w:val="0"/>
                              <w:marTop w:val="0"/>
                              <w:marBottom w:val="0"/>
                              <w:divBdr>
                                <w:top w:val="none" w:sz="0" w:space="0" w:color="auto"/>
                                <w:left w:val="none" w:sz="0" w:space="0" w:color="auto"/>
                                <w:bottom w:val="none" w:sz="0" w:space="0" w:color="auto"/>
                                <w:right w:val="none" w:sz="0" w:space="0" w:color="auto"/>
                              </w:divBdr>
                              <w:divsChild>
                                <w:div w:id="1130124462">
                                  <w:marLeft w:val="0"/>
                                  <w:marRight w:val="0"/>
                                  <w:marTop w:val="0"/>
                                  <w:marBottom w:val="0"/>
                                  <w:divBdr>
                                    <w:top w:val="none" w:sz="0" w:space="0" w:color="auto"/>
                                    <w:left w:val="none" w:sz="0" w:space="0" w:color="auto"/>
                                    <w:bottom w:val="none" w:sz="0" w:space="0" w:color="auto"/>
                                    <w:right w:val="none" w:sz="0" w:space="0" w:color="auto"/>
                                  </w:divBdr>
                                  <w:divsChild>
                                    <w:div w:id="135731847">
                                      <w:marLeft w:val="0"/>
                                      <w:marRight w:val="0"/>
                                      <w:marTop w:val="0"/>
                                      <w:marBottom w:val="0"/>
                                      <w:divBdr>
                                        <w:top w:val="none" w:sz="0" w:space="0" w:color="auto"/>
                                        <w:left w:val="none" w:sz="0" w:space="0" w:color="auto"/>
                                        <w:bottom w:val="none" w:sz="0" w:space="0" w:color="auto"/>
                                        <w:right w:val="none" w:sz="0" w:space="0" w:color="auto"/>
                                      </w:divBdr>
                                      <w:divsChild>
                                        <w:div w:id="1421869630">
                                          <w:marLeft w:val="0"/>
                                          <w:marRight w:val="0"/>
                                          <w:marTop w:val="0"/>
                                          <w:marBottom w:val="0"/>
                                          <w:divBdr>
                                            <w:top w:val="none" w:sz="0" w:space="0" w:color="auto"/>
                                            <w:left w:val="none" w:sz="0" w:space="0" w:color="auto"/>
                                            <w:bottom w:val="none" w:sz="0" w:space="0" w:color="auto"/>
                                            <w:right w:val="none" w:sz="0" w:space="0" w:color="auto"/>
                                          </w:divBdr>
                                          <w:divsChild>
                                            <w:div w:id="54596939">
                                              <w:marLeft w:val="0"/>
                                              <w:marRight w:val="0"/>
                                              <w:marTop w:val="0"/>
                                              <w:marBottom w:val="0"/>
                                              <w:divBdr>
                                                <w:top w:val="none" w:sz="0" w:space="0" w:color="auto"/>
                                                <w:left w:val="none" w:sz="0" w:space="0" w:color="auto"/>
                                                <w:bottom w:val="none" w:sz="0" w:space="0" w:color="auto"/>
                                                <w:right w:val="none" w:sz="0" w:space="0" w:color="auto"/>
                                              </w:divBdr>
                                            </w:div>
                                            <w:div w:id="1848522735">
                                              <w:marLeft w:val="0"/>
                                              <w:marRight w:val="0"/>
                                              <w:marTop w:val="0"/>
                                              <w:marBottom w:val="0"/>
                                              <w:divBdr>
                                                <w:top w:val="none" w:sz="0" w:space="0" w:color="auto"/>
                                                <w:left w:val="none" w:sz="0" w:space="0" w:color="auto"/>
                                                <w:bottom w:val="none" w:sz="0" w:space="0" w:color="auto"/>
                                                <w:right w:val="none" w:sz="0" w:space="0" w:color="auto"/>
                                              </w:divBdr>
                                            </w:div>
                                            <w:div w:id="1827745115">
                                              <w:marLeft w:val="0"/>
                                              <w:marRight w:val="0"/>
                                              <w:marTop w:val="0"/>
                                              <w:marBottom w:val="0"/>
                                              <w:divBdr>
                                                <w:top w:val="none" w:sz="0" w:space="0" w:color="auto"/>
                                                <w:left w:val="none" w:sz="0" w:space="0" w:color="auto"/>
                                                <w:bottom w:val="none" w:sz="0" w:space="0" w:color="auto"/>
                                                <w:right w:val="none" w:sz="0" w:space="0" w:color="auto"/>
                                              </w:divBdr>
                                            </w:div>
                                            <w:div w:id="123013080">
                                              <w:marLeft w:val="0"/>
                                              <w:marRight w:val="0"/>
                                              <w:marTop w:val="0"/>
                                              <w:marBottom w:val="0"/>
                                              <w:divBdr>
                                                <w:top w:val="none" w:sz="0" w:space="0" w:color="auto"/>
                                                <w:left w:val="none" w:sz="0" w:space="0" w:color="auto"/>
                                                <w:bottom w:val="none" w:sz="0" w:space="0" w:color="auto"/>
                                                <w:right w:val="none" w:sz="0" w:space="0" w:color="auto"/>
                                              </w:divBdr>
                                            </w:div>
                                            <w:div w:id="2060548410">
                                              <w:marLeft w:val="0"/>
                                              <w:marRight w:val="0"/>
                                              <w:marTop w:val="0"/>
                                              <w:marBottom w:val="0"/>
                                              <w:divBdr>
                                                <w:top w:val="none" w:sz="0" w:space="0" w:color="auto"/>
                                                <w:left w:val="none" w:sz="0" w:space="0" w:color="auto"/>
                                                <w:bottom w:val="none" w:sz="0" w:space="0" w:color="auto"/>
                                                <w:right w:val="none" w:sz="0" w:space="0" w:color="auto"/>
                                              </w:divBdr>
                                            </w:div>
                                            <w:div w:id="1487939617">
                                              <w:marLeft w:val="0"/>
                                              <w:marRight w:val="0"/>
                                              <w:marTop w:val="0"/>
                                              <w:marBottom w:val="0"/>
                                              <w:divBdr>
                                                <w:top w:val="none" w:sz="0" w:space="0" w:color="auto"/>
                                                <w:left w:val="none" w:sz="0" w:space="0" w:color="auto"/>
                                                <w:bottom w:val="none" w:sz="0" w:space="0" w:color="auto"/>
                                                <w:right w:val="none" w:sz="0" w:space="0" w:color="auto"/>
                                              </w:divBdr>
                                            </w:div>
                                            <w:div w:id="541215699">
                                              <w:marLeft w:val="0"/>
                                              <w:marRight w:val="0"/>
                                              <w:marTop w:val="0"/>
                                              <w:marBottom w:val="0"/>
                                              <w:divBdr>
                                                <w:top w:val="none" w:sz="0" w:space="0" w:color="auto"/>
                                                <w:left w:val="none" w:sz="0" w:space="0" w:color="auto"/>
                                                <w:bottom w:val="none" w:sz="0" w:space="0" w:color="auto"/>
                                                <w:right w:val="none" w:sz="0" w:space="0" w:color="auto"/>
                                              </w:divBdr>
                                            </w:div>
                                            <w:div w:id="1808669492">
                                              <w:marLeft w:val="0"/>
                                              <w:marRight w:val="0"/>
                                              <w:marTop w:val="0"/>
                                              <w:marBottom w:val="0"/>
                                              <w:divBdr>
                                                <w:top w:val="none" w:sz="0" w:space="0" w:color="auto"/>
                                                <w:left w:val="none" w:sz="0" w:space="0" w:color="auto"/>
                                                <w:bottom w:val="none" w:sz="0" w:space="0" w:color="auto"/>
                                                <w:right w:val="none" w:sz="0" w:space="0" w:color="auto"/>
                                              </w:divBdr>
                                            </w:div>
                                            <w:div w:id="721368022">
                                              <w:marLeft w:val="0"/>
                                              <w:marRight w:val="0"/>
                                              <w:marTop w:val="0"/>
                                              <w:marBottom w:val="0"/>
                                              <w:divBdr>
                                                <w:top w:val="none" w:sz="0" w:space="0" w:color="auto"/>
                                                <w:left w:val="none" w:sz="0" w:space="0" w:color="auto"/>
                                                <w:bottom w:val="none" w:sz="0" w:space="0" w:color="auto"/>
                                                <w:right w:val="none" w:sz="0" w:space="0" w:color="auto"/>
                                              </w:divBdr>
                                            </w:div>
                                            <w:div w:id="901479728">
                                              <w:marLeft w:val="0"/>
                                              <w:marRight w:val="0"/>
                                              <w:marTop w:val="0"/>
                                              <w:marBottom w:val="0"/>
                                              <w:divBdr>
                                                <w:top w:val="none" w:sz="0" w:space="0" w:color="auto"/>
                                                <w:left w:val="none" w:sz="0" w:space="0" w:color="auto"/>
                                                <w:bottom w:val="none" w:sz="0" w:space="0" w:color="auto"/>
                                                <w:right w:val="none" w:sz="0" w:space="0" w:color="auto"/>
                                              </w:divBdr>
                                            </w:div>
                                            <w:div w:id="1248266219">
                                              <w:marLeft w:val="0"/>
                                              <w:marRight w:val="0"/>
                                              <w:marTop w:val="0"/>
                                              <w:marBottom w:val="0"/>
                                              <w:divBdr>
                                                <w:top w:val="none" w:sz="0" w:space="0" w:color="auto"/>
                                                <w:left w:val="none" w:sz="0" w:space="0" w:color="auto"/>
                                                <w:bottom w:val="none" w:sz="0" w:space="0" w:color="auto"/>
                                                <w:right w:val="none" w:sz="0" w:space="0" w:color="auto"/>
                                              </w:divBdr>
                                            </w:div>
                                            <w:div w:id="1180772495">
                                              <w:marLeft w:val="0"/>
                                              <w:marRight w:val="0"/>
                                              <w:marTop w:val="0"/>
                                              <w:marBottom w:val="0"/>
                                              <w:divBdr>
                                                <w:top w:val="none" w:sz="0" w:space="0" w:color="auto"/>
                                                <w:left w:val="none" w:sz="0" w:space="0" w:color="auto"/>
                                                <w:bottom w:val="none" w:sz="0" w:space="0" w:color="auto"/>
                                                <w:right w:val="none" w:sz="0" w:space="0" w:color="auto"/>
                                              </w:divBdr>
                                            </w:div>
                                            <w:div w:id="2035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776033">
              <w:marLeft w:val="0"/>
              <w:marRight w:val="0"/>
              <w:marTop w:val="0"/>
              <w:marBottom w:val="0"/>
              <w:divBdr>
                <w:top w:val="none" w:sz="0" w:space="0" w:color="auto"/>
                <w:left w:val="none" w:sz="0" w:space="0" w:color="auto"/>
                <w:bottom w:val="none" w:sz="0" w:space="0" w:color="auto"/>
                <w:right w:val="none" w:sz="0" w:space="0" w:color="auto"/>
              </w:divBdr>
            </w:div>
            <w:div w:id="5316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Words>
  <Characters>2350</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2772</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Jean Tortrat</cp:lastModifiedBy>
  <cp:revision>3</cp:revision>
  <cp:lastPrinted>2018-12-19T09:20:00Z</cp:lastPrinted>
  <dcterms:created xsi:type="dcterms:W3CDTF">2018-12-19T09:34:00Z</dcterms:created>
  <dcterms:modified xsi:type="dcterms:W3CDTF">2018-12-19T09:55:00Z</dcterms:modified>
</cp:coreProperties>
</file>