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C9" w:rsidRPr="0082482B" w:rsidRDefault="00F72C62" w:rsidP="003C64C9">
      <w:pPr>
        <w:widowControl w:val="0"/>
        <w:autoSpaceDE w:val="0"/>
        <w:autoSpaceDN w:val="0"/>
        <w:adjustRightInd w:val="0"/>
        <w:spacing w:line="360" w:lineRule="auto"/>
        <w:jc w:val="center"/>
        <w:rPr>
          <w:rFonts w:ascii="Arial" w:hAnsi="Arial" w:cs="Arial"/>
          <w:b/>
          <w:color w:val="111111"/>
          <w:sz w:val="36"/>
          <w:szCs w:val="36"/>
        </w:rPr>
      </w:pPr>
      <w:r w:rsidRPr="00CB674D">
        <w:rPr>
          <w:rFonts w:ascii="Arial" w:hAnsi="Arial" w:cs="Arial"/>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1150620" cy="1486535"/>
                    </a:xfrm>
                    <a:prstGeom prst="rect">
                      <a:avLst/>
                    </a:prstGeom>
                    <a:noFill/>
                    <a:ln w="9525">
                      <a:noFill/>
                      <a:miter lim="800000"/>
                      <a:headEnd/>
                      <a:tailEnd/>
                    </a:ln>
                  </pic:spPr>
                </pic:pic>
              </a:graphicData>
            </a:graphic>
          </wp:anchor>
        </w:drawing>
      </w:r>
      <w:bookmarkStart w:id="0" w:name="_GoBack"/>
      <w:bookmarkEnd w:id="0"/>
      <w:r w:rsidR="003C64C9">
        <w:rPr>
          <w:rFonts w:ascii="Arial" w:hAnsi="Arial" w:cs="Arial"/>
          <w:b/>
          <w:color w:val="111111"/>
          <w:sz w:val="36"/>
          <w:szCs w:val="36"/>
        </w:rPr>
        <w:t>Contrats aidés</w:t>
      </w:r>
      <w:r w:rsidR="003C64C9" w:rsidRPr="0082482B">
        <w:rPr>
          <w:rFonts w:ascii="Arial" w:hAnsi="Arial" w:cs="Arial"/>
          <w:b/>
          <w:color w:val="111111"/>
          <w:sz w:val="36"/>
          <w:szCs w:val="36"/>
        </w:rPr>
        <w:t xml:space="preserve"> : </w:t>
      </w:r>
      <w:r w:rsidR="003C64C9">
        <w:rPr>
          <w:rFonts w:ascii="Arial" w:hAnsi="Arial" w:cs="Arial"/>
          <w:b/>
          <w:color w:val="111111"/>
          <w:sz w:val="36"/>
          <w:szCs w:val="36"/>
        </w:rPr>
        <w:t xml:space="preserve">Le SNJ-CGT solidaire </w:t>
      </w:r>
      <w:r w:rsidR="00FE3634">
        <w:rPr>
          <w:rFonts w:ascii="Arial" w:hAnsi="Arial" w:cs="Arial"/>
          <w:b/>
          <w:color w:val="111111"/>
          <w:sz w:val="36"/>
          <w:szCs w:val="36"/>
        </w:rPr>
        <w:br/>
      </w:r>
      <w:r w:rsidR="003C64C9">
        <w:rPr>
          <w:rFonts w:ascii="Arial" w:hAnsi="Arial" w:cs="Arial"/>
          <w:b/>
          <w:color w:val="111111"/>
          <w:sz w:val="36"/>
          <w:szCs w:val="36"/>
        </w:rPr>
        <w:t>des journalistes des radios locales privées</w:t>
      </w:r>
    </w:p>
    <w:p w:rsidR="003C64C9" w:rsidRDefault="003C64C9" w:rsidP="003C64C9">
      <w:pPr>
        <w:widowControl w:val="0"/>
        <w:autoSpaceDE w:val="0"/>
        <w:autoSpaceDN w:val="0"/>
        <w:adjustRightInd w:val="0"/>
        <w:spacing w:line="360" w:lineRule="auto"/>
        <w:jc w:val="center"/>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Default="003C64C9" w:rsidP="003C64C9">
      <w:pPr>
        <w:widowControl w:val="0"/>
        <w:autoSpaceDE w:val="0"/>
        <w:autoSpaceDN w:val="0"/>
        <w:adjustRightInd w:val="0"/>
        <w:jc w:val="both"/>
        <w:rPr>
          <w:rFonts w:ascii="Arial" w:hAnsi="Arial" w:cs="Arial"/>
          <w:color w:val="535353"/>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Le SNJ-CGT rejoint l’inquiétude du Syndicat national des radios libres (SNRL) qui, avec l’Union des employeurs de l’économie sociale, vient d’interpeller le gouvernement à propos de la réduction des contrats aidés.</w:t>
      </w:r>
    </w:p>
    <w:p w:rsidR="003C64C9" w:rsidRPr="00345019" w:rsidRDefault="003C64C9" w:rsidP="003C64C9">
      <w:pPr>
        <w:widowControl w:val="0"/>
        <w:autoSpaceDE w:val="0"/>
        <w:autoSpaceDN w:val="0"/>
        <w:adjustRightInd w:val="0"/>
        <w:jc w:val="both"/>
        <w:rPr>
          <w:rFonts w:ascii="Arial" w:hAnsi="Arial" w:cs="Arial"/>
          <w:sz w:val="24"/>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En effet, dans les radios locales privées, on compte environ 1100 emplois aidés, dont au moins 50 journalistes (stagiaires 1</w:t>
      </w:r>
      <w:r w:rsidRPr="00345019">
        <w:rPr>
          <w:rFonts w:ascii="Arial" w:hAnsi="Arial" w:cs="Arial"/>
          <w:sz w:val="24"/>
          <w:vertAlign w:val="superscript"/>
        </w:rPr>
        <w:t>er</w:t>
      </w:r>
      <w:r w:rsidRPr="00345019">
        <w:rPr>
          <w:rFonts w:ascii="Arial" w:hAnsi="Arial" w:cs="Arial"/>
          <w:sz w:val="24"/>
        </w:rPr>
        <w:t xml:space="preserve"> et 2</w:t>
      </w:r>
      <w:r w:rsidRPr="00345019">
        <w:rPr>
          <w:rFonts w:ascii="Arial" w:hAnsi="Arial" w:cs="Arial"/>
          <w:sz w:val="24"/>
          <w:vertAlign w:val="superscript"/>
        </w:rPr>
        <w:t>e</w:t>
      </w:r>
      <w:r w:rsidRPr="00345019">
        <w:rPr>
          <w:rFonts w:ascii="Arial" w:hAnsi="Arial" w:cs="Arial"/>
          <w:sz w:val="24"/>
        </w:rPr>
        <w:t xml:space="preserve"> échelon) et plus de 1000 administratifs et techniciens, soit une moyenne de 1,8 contrat par radio.</w:t>
      </w:r>
    </w:p>
    <w:p w:rsidR="003C64C9" w:rsidRPr="00345019" w:rsidRDefault="003C64C9" w:rsidP="003C64C9">
      <w:pPr>
        <w:widowControl w:val="0"/>
        <w:autoSpaceDE w:val="0"/>
        <w:autoSpaceDN w:val="0"/>
        <w:adjustRightInd w:val="0"/>
        <w:jc w:val="both"/>
        <w:rPr>
          <w:rFonts w:ascii="Arial" w:hAnsi="Arial" w:cs="Arial"/>
          <w:sz w:val="24"/>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Si, avec sa confédération, le SNJ-CGT n’est pas favorable à ce type de contrat, il estime que la mesure prise par le gouvernement dans la précipitation risque de plonger plus de 1000 salariés au chômage et d’amener un certain nombre de radios associatives et locales à cesser d’émettre.</w:t>
      </w:r>
    </w:p>
    <w:p w:rsidR="003C64C9" w:rsidRPr="00345019" w:rsidRDefault="003C64C9" w:rsidP="003C64C9">
      <w:pPr>
        <w:widowControl w:val="0"/>
        <w:autoSpaceDE w:val="0"/>
        <w:autoSpaceDN w:val="0"/>
        <w:adjustRightInd w:val="0"/>
        <w:jc w:val="both"/>
        <w:rPr>
          <w:rFonts w:ascii="Arial" w:hAnsi="Arial" w:cs="Arial"/>
          <w:sz w:val="24"/>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Est-ce le but recherché par le gouvernement pour laisser le champ libre aux réseaux commerciaux comme Lagardère, RTL, NRJ et autres ?</w:t>
      </w:r>
    </w:p>
    <w:p w:rsidR="003C64C9" w:rsidRPr="00345019" w:rsidRDefault="003C64C9" w:rsidP="003C64C9">
      <w:pPr>
        <w:widowControl w:val="0"/>
        <w:autoSpaceDE w:val="0"/>
        <w:autoSpaceDN w:val="0"/>
        <w:adjustRightInd w:val="0"/>
        <w:jc w:val="both"/>
        <w:rPr>
          <w:rFonts w:ascii="Arial" w:hAnsi="Arial" w:cs="Arial"/>
          <w:sz w:val="24"/>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 xml:space="preserve">Le SNRL fait remarquer à juste titre que </w:t>
      </w:r>
      <w:r w:rsidR="00295696">
        <w:rPr>
          <w:rFonts w:ascii="Arial" w:hAnsi="Arial" w:cs="Arial"/>
          <w:sz w:val="24"/>
        </w:rPr>
        <w:t>la transformation</w:t>
      </w:r>
      <w:r w:rsidR="00345019" w:rsidRPr="00345019">
        <w:rPr>
          <w:rFonts w:ascii="Arial" w:hAnsi="Arial" w:cs="Arial"/>
          <w:sz w:val="24"/>
        </w:rPr>
        <w:t xml:space="preserve"> des contrats aidés </w:t>
      </w:r>
      <w:r w:rsidR="00295696">
        <w:rPr>
          <w:rFonts w:ascii="Arial" w:hAnsi="Arial" w:cs="Arial"/>
          <w:sz w:val="24"/>
        </w:rPr>
        <w:t xml:space="preserve">en CDI </w:t>
      </w:r>
      <w:r w:rsidR="00345019" w:rsidRPr="00345019">
        <w:rPr>
          <w:rFonts w:ascii="Arial" w:hAnsi="Arial" w:cs="Arial"/>
          <w:sz w:val="24"/>
        </w:rPr>
        <w:t>atteint 65</w:t>
      </w:r>
      <w:r w:rsidRPr="00345019">
        <w:rPr>
          <w:rFonts w:ascii="Arial" w:hAnsi="Arial" w:cs="Arial"/>
          <w:sz w:val="24"/>
        </w:rPr>
        <w:t>% dans cette branche.</w:t>
      </w:r>
    </w:p>
    <w:p w:rsidR="003C64C9" w:rsidRPr="00345019" w:rsidRDefault="003C64C9" w:rsidP="003C64C9">
      <w:pPr>
        <w:widowControl w:val="0"/>
        <w:autoSpaceDE w:val="0"/>
        <w:autoSpaceDN w:val="0"/>
        <w:adjustRightInd w:val="0"/>
        <w:jc w:val="both"/>
        <w:rPr>
          <w:rFonts w:ascii="Arial" w:hAnsi="Arial" w:cs="Arial"/>
          <w:sz w:val="24"/>
        </w:rPr>
      </w:pPr>
    </w:p>
    <w:p w:rsidR="003C64C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Le SNJ-CGT demande au gouvernement de décréter un moratoire, d’augmenter le Fond de soutien à l’expression radiophonique (actuellement cette taxe est perçue sur les recettes des régies publicitaires des radios et</w:t>
      </w:r>
      <w:r w:rsidR="00345019" w:rsidRPr="00345019">
        <w:rPr>
          <w:rFonts w:ascii="Arial" w:hAnsi="Arial" w:cs="Arial"/>
          <w:sz w:val="24"/>
        </w:rPr>
        <w:t xml:space="preserve"> télévisions commerciales) et d</w:t>
      </w:r>
      <w:r w:rsidRPr="00345019">
        <w:rPr>
          <w:rFonts w:ascii="Arial" w:hAnsi="Arial" w:cs="Arial"/>
          <w:sz w:val="24"/>
        </w:rPr>
        <w:t>e réviser les aides à la presse pour permettre aux radios locales de transformer les contrats aidés en CDI.</w:t>
      </w:r>
    </w:p>
    <w:p w:rsidR="003C64C9" w:rsidRPr="00345019" w:rsidRDefault="003C64C9" w:rsidP="003C64C9">
      <w:pPr>
        <w:widowControl w:val="0"/>
        <w:autoSpaceDE w:val="0"/>
        <w:autoSpaceDN w:val="0"/>
        <w:adjustRightInd w:val="0"/>
        <w:jc w:val="both"/>
        <w:rPr>
          <w:rFonts w:ascii="Arial" w:hAnsi="Arial" w:cs="Arial"/>
          <w:sz w:val="24"/>
        </w:rPr>
      </w:pPr>
    </w:p>
    <w:p w:rsidR="00345019" w:rsidRPr="00345019" w:rsidRDefault="003C64C9" w:rsidP="003C64C9">
      <w:pPr>
        <w:widowControl w:val="0"/>
        <w:autoSpaceDE w:val="0"/>
        <w:autoSpaceDN w:val="0"/>
        <w:adjustRightInd w:val="0"/>
        <w:jc w:val="both"/>
        <w:rPr>
          <w:rFonts w:ascii="Arial" w:hAnsi="Arial" w:cs="Arial"/>
          <w:sz w:val="24"/>
        </w:rPr>
      </w:pPr>
      <w:r w:rsidRPr="00345019">
        <w:rPr>
          <w:rFonts w:ascii="Arial" w:hAnsi="Arial" w:cs="Arial"/>
          <w:sz w:val="24"/>
        </w:rPr>
        <w:t>Le SNJ-CGT sera attentif aux mesures qui seront prises pour éviter que ces salariés précaires indispensables à la survie de ces radios ne soient pas jetés à la rue.</w:t>
      </w:r>
    </w:p>
    <w:p w:rsidR="00345019" w:rsidRPr="00345019" w:rsidRDefault="00345019" w:rsidP="003C64C9">
      <w:pPr>
        <w:widowControl w:val="0"/>
        <w:autoSpaceDE w:val="0"/>
        <w:autoSpaceDN w:val="0"/>
        <w:adjustRightInd w:val="0"/>
        <w:jc w:val="both"/>
        <w:rPr>
          <w:rFonts w:ascii="Arial" w:hAnsi="Arial" w:cs="Arial"/>
          <w:sz w:val="24"/>
        </w:rPr>
      </w:pPr>
    </w:p>
    <w:p w:rsidR="00345019" w:rsidRPr="00345019" w:rsidRDefault="00345019" w:rsidP="003C64C9">
      <w:pPr>
        <w:widowControl w:val="0"/>
        <w:autoSpaceDE w:val="0"/>
        <w:autoSpaceDN w:val="0"/>
        <w:adjustRightInd w:val="0"/>
        <w:jc w:val="both"/>
        <w:rPr>
          <w:rFonts w:ascii="Arial" w:hAnsi="Arial" w:cs="Arial"/>
          <w:sz w:val="24"/>
        </w:rPr>
      </w:pPr>
      <w:r w:rsidRPr="00345019">
        <w:rPr>
          <w:rFonts w:ascii="Arial" w:hAnsi="Arial" w:cs="Arial"/>
          <w:sz w:val="24"/>
        </w:rPr>
        <w:t>Montreuil, le 7 septembre 2017</w:t>
      </w:r>
    </w:p>
    <w:p w:rsidR="003C64C9" w:rsidRPr="00345019" w:rsidRDefault="00345019" w:rsidP="003C64C9">
      <w:pPr>
        <w:widowControl w:val="0"/>
        <w:autoSpaceDE w:val="0"/>
        <w:autoSpaceDN w:val="0"/>
        <w:adjustRightInd w:val="0"/>
        <w:jc w:val="both"/>
        <w:rPr>
          <w:rFonts w:ascii="Arial" w:hAnsi="Arial" w:cs="Arial"/>
          <w:sz w:val="24"/>
        </w:rPr>
      </w:pPr>
      <w:r w:rsidRPr="00345019">
        <w:rPr>
          <w:rFonts w:ascii="Arial" w:hAnsi="Arial" w:cs="Arial"/>
          <w:sz w:val="24"/>
        </w:rPr>
        <w:t>SNJ-CGT</w:t>
      </w:r>
    </w:p>
    <w:p w:rsidR="00004FBE" w:rsidRPr="004D5BBA" w:rsidRDefault="00004FBE" w:rsidP="003C64C9">
      <w:pPr>
        <w:spacing w:line="360" w:lineRule="auto"/>
        <w:ind w:left="-284"/>
        <w:jc w:val="center"/>
        <w:rPr>
          <w:rFonts w:ascii="Arial" w:hAnsi="Arial"/>
          <w:b/>
          <w:sz w:val="44"/>
          <w:szCs w:val="56"/>
        </w:rPr>
      </w:pPr>
    </w:p>
    <w:sectPr w:rsidR="00004FBE" w:rsidRPr="004D5BBA" w:rsidSect="004D5BBA">
      <w:footerReference w:type="default" r:id="rId8"/>
      <w:pgSz w:w="11906" w:h="16838"/>
      <w:pgMar w:top="1417" w:right="1417" w:bottom="1135"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F81" w:rsidRDefault="00180F81" w:rsidP="00004FBE">
      <w:r>
        <w:separator/>
      </w:r>
    </w:p>
  </w:endnote>
  <w:endnote w:type="continuationSeparator" w:id="0">
    <w:p w:rsidR="00180F81" w:rsidRDefault="00180F81" w:rsidP="00004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19" w:rsidRPr="006036CB" w:rsidRDefault="00345019"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345019" w:rsidRPr="004D5BBA" w:rsidRDefault="00345019"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F81" w:rsidRDefault="00180F81" w:rsidP="00004FBE">
      <w:r>
        <w:separator/>
      </w:r>
    </w:p>
  </w:footnote>
  <w:footnote w:type="continuationSeparator" w:id="0">
    <w:p w:rsidR="00180F81" w:rsidRDefault="00180F81" w:rsidP="0000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oNotTrackMoves/>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036CB"/>
    <w:rsid w:val="00004FBE"/>
    <w:rsid w:val="00112CAE"/>
    <w:rsid w:val="00180F81"/>
    <w:rsid w:val="00292DC5"/>
    <w:rsid w:val="00295696"/>
    <w:rsid w:val="00327396"/>
    <w:rsid w:val="00345019"/>
    <w:rsid w:val="003C64C9"/>
    <w:rsid w:val="0047289A"/>
    <w:rsid w:val="004C43E7"/>
    <w:rsid w:val="004D5BBA"/>
    <w:rsid w:val="005723C5"/>
    <w:rsid w:val="005B6706"/>
    <w:rsid w:val="006036CB"/>
    <w:rsid w:val="00654B13"/>
    <w:rsid w:val="006F06EC"/>
    <w:rsid w:val="00755196"/>
    <w:rsid w:val="007B2829"/>
    <w:rsid w:val="00863446"/>
    <w:rsid w:val="008B4B65"/>
    <w:rsid w:val="008D1A9E"/>
    <w:rsid w:val="009615C4"/>
    <w:rsid w:val="009C1C5C"/>
    <w:rsid w:val="00A1004C"/>
    <w:rsid w:val="00A35AF7"/>
    <w:rsid w:val="00A3692C"/>
    <w:rsid w:val="00AC0884"/>
    <w:rsid w:val="00C51510"/>
    <w:rsid w:val="00CB674D"/>
    <w:rsid w:val="00D02828"/>
    <w:rsid w:val="00E64BAF"/>
    <w:rsid w:val="00ED0D1C"/>
    <w:rsid w:val="00EE6890"/>
    <w:rsid w:val="00F00273"/>
    <w:rsid w:val="00F72C62"/>
    <w:rsid w:val="00FE3634"/>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fr-FR" w:eastAsia="fr-FR" w:bidi="ar-SA"/>
      </w:rPr>
    </w:rPrDefault>
    <w:pPrDefault/>
  </w:docDefaults>
  <w:latentStyles w:defLockedState="0" w:defUIPriority="0" w:defSemiHidden="0" w:defUnhideWhenUsed="0" w:defQFormat="0" w:count="267">
    <w:lsdException w:name="Emphasis" w:uiPriority="20"/>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eastAsiaTheme="minorHAnsi" w:hAnsi="Times" w:cstheme="minorBidi"/>
      <w:sz w:val="20"/>
      <w:szCs w:val="20"/>
      <w:lang w:eastAsia="fr-FR"/>
    </w:rPr>
  </w:style>
  <w:style w:type="paragraph" w:customStyle="1" w:styleId="m7170717675722101039s9">
    <w:name w:val="m_7170717675722101039s9"/>
    <w:basedOn w:val="Normal"/>
    <w:rsid w:val="00112CAE"/>
    <w:pPr>
      <w:spacing w:beforeLines="1" w:afterLines="1"/>
    </w:pPr>
    <w:rPr>
      <w:rFonts w:ascii="Times" w:eastAsiaTheme="minorHAnsi" w:hAnsi="Times" w:cstheme="minorBidi"/>
      <w:sz w:val="20"/>
      <w:szCs w:val="20"/>
      <w:lang w:eastAsia="fr-FR"/>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1387</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
  <LinksUpToDate>false</LinksUpToDate>
  <CharactersWithSpaces>1636</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SNJ POSTE 2</cp:lastModifiedBy>
  <cp:revision>2</cp:revision>
  <cp:lastPrinted>2017-09-07T09:40:00Z</cp:lastPrinted>
  <dcterms:created xsi:type="dcterms:W3CDTF">2017-09-07T09:40:00Z</dcterms:created>
  <dcterms:modified xsi:type="dcterms:W3CDTF">2017-09-07T09:40:00Z</dcterms:modified>
</cp:coreProperties>
</file>