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60" w:rsidRDefault="00DD7D60" w:rsidP="009615C4">
      <w:pPr>
        <w:jc w:val="center"/>
        <w:rPr>
          <w:rFonts w:ascii="Arial" w:hAnsi="Arial" w:cs="Arial"/>
          <w:b/>
          <w:noProof/>
          <w:sz w:val="52"/>
          <w:szCs w:val="52"/>
          <w:lang w:eastAsia="fr-FR"/>
        </w:rPr>
      </w:pPr>
    </w:p>
    <w:p w:rsidR="00755196" w:rsidRPr="009615C4" w:rsidRDefault="00AC0481" w:rsidP="00DD7D60">
      <w:pPr>
        <w:spacing w:before="240"/>
        <w:jc w:val="center"/>
        <w:rPr>
          <w:rFonts w:ascii="Arial" w:eastAsia="Times New Roman" w:hAnsi="Arial" w:cs="Arial"/>
          <w:b/>
          <w:sz w:val="52"/>
          <w:szCs w:val="52"/>
          <w:lang w:eastAsia="fr-FR"/>
        </w:rPr>
      </w:pPr>
      <w:r>
        <w:rPr>
          <w:rFonts w:ascii="Arial" w:hAnsi="Arial" w:cs="Arial"/>
          <w:b/>
          <w:noProof/>
          <w:sz w:val="52"/>
          <w:szCs w:val="52"/>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1150620" cy="1486535"/>
            <wp:effectExtent l="19050" t="0" r="0" b="0"/>
            <wp:wrapTight wrapText="bothSides">
              <wp:wrapPolygon edited="0">
                <wp:start x="-358" y="0"/>
                <wp:lineTo x="-358" y="21314"/>
                <wp:lineTo x="21457" y="21314"/>
                <wp:lineTo x="21457" y="0"/>
                <wp:lineTo x="-358"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1150620" cy="1486535"/>
                    </a:xfrm>
                    <a:prstGeom prst="rect">
                      <a:avLst/>
                    </a:prstGeom>
                    <a:noFill/>
                    <a:ln w="9525">
                      <a:noFill/>
                      <a:miter lim="800000"/>
                      <a:headEnd/>
                      <a:tailEnd/>
                    </a:ln>
                  </pic:spPr>
                </pic:pic>
              </a:graphicData>
            </a:graphic>
          </wp:anchor>
        </w:drawing>
      </w:r>
      <w:r w:rsidR="00DD7D60">
        <w:rPr>
          <w:rFonts w:ascii="Arial" w:hAnsi="Arial" w:cs="Arial"/>
          <w:b/>
          <w:noProof/>
          <w:sz w:val="52"/>
          <w:szCs w:val="52"/>
          <w:lang w:eastAsia="fr-FR"/>
        </w:rPr>
        <w:t>Vincent Bolloré ose tout</w:t>
      </w:r>
    </w:p>
    <w:p w:rsidR="009615C4" w:rsidRDefault="009615C4" w:rsidP="009615C4">
      <w:pPr>
        <w:jc w:val="both"/>
        <w:outlineLvl w:val="1"/>
        <w:rPr>
          <w:rFonts w:ascii="Arial" w:hAnsi="Arial"/>
          <w:lang w:eastAsia="fr-FR"/>
        </w:rPr>
      </w:pPr>
    </w:p>
    <w:p w:rsidR="00EE6890" w:rsidRDefault="00EE6890" w:rsidP="008D1A9E">
      <w:pPr>
        <w:jc w:val="both"/>
        <w:outlineLvl w:val="1"/>
        <w:rPr>
          <w:rFonts w:ascii="Arial" w:eastAsia="Times New Roman" w:hAnsi="Arial"/>
          <w:bCs/>
          <w:sz w:val="24"/>
          <w:szCs w:val="24"/>
        </w:rPr>
      </w:pPr>
    </w:p>
    <w:p w:rsidR="00DD7D60" w:rsidRDefault="00DD7D60" w:rsidP="008D1A9E">
      <w:pPr>
        <w:jc w:val="both"/>
        <w:outlineLvl w:val="1"/>
        <w:rPr>
          <w:rFonts w:ascii="Arial" w:eastAsia="Times New Roman" w:hAnsi="Arial"/>
          <w:bCs/>
          <w:sz w:val="24"/>
          <w:szCs w:val="24"/>
        </w:rPr>
      </w:pPr>
    </w:p>
    <w:p w:rsidR="00DD7D60" w:rsidRDefault="00DD7D60" w:rsidP="00DD7D60">
      <w:pPr>
        <w:jc w:val="both"/>
        <w:rPr>
          <w:rFonts w:ascii="Arial" w:eastAsia="Times New Roman" w:hAnsi="Arial"/>
          <w:shd w:val="clear" w:color="auto" w:fill="FFFFFF"/>
        </w:rPr>
      </w:pP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 xml:space="preserve">Vincent Bolloré se distingue encore au détriment des créateurs, auteurs et journalistes. Après les avoir censurés sur Canal+, méprisés sur </w:t>
      </w:r>
      <w:proofErr w:type="spellStart"/>
      <w:r w:rsidRPr="00920A9F">
        <w:rPr>
          <w:rFonts w:ascii="Arial" w:eastAsia="Times New Roman" w:hAnsi="Arial"/>
          <w:shd w:val="clear" w:color="auto" w:fill="FFFFFF"/>
        </w:rPr>
        <w:t>iTélé</w:t>
      </w:r>
      <w:proofErr w:type="spellEnd"/>
      <w:r w:rsidRPr="00920A9F">
        <w:rPr>
          <w:rFonts w:ascii="Arial" w:eastAsia="Times New Roman" w:hAnsi="Arial"/>
          <w:shd w:val="clear" w:color="auto" w:fill="FFFFFF"/>
        </w:rPr>
        <w:t>, aujourd’hui il ne les paie plus.</w:t>
      </w:r>
    </w:p>
    <w:p w:rsidR="00DD7D60" w:rsidRPr="00920A9F" w:rsidRDefault="00DD7D60" w:rsidP="00DD7D60">
      <w:pPr>
        <w:jc w:val="both"/>
        <w:rPr>
          <w:rFonts w:ascii="Arial" w:eastAsia="Times New Roman" w:hAnsi="Arial"/>
          <w:shd w:val="clear" w:color="auto" w:fill="FFFFFF"/>
        </w:rPr>
      </w:pP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En effet, les organismes de gestion collective des droits d’auteurs (SACEM, SACD, SCAM, etc.) ne perçoivent plus les sommes fixées par les accords signés avec Canal+ pour la rémunération due en contrepartie de l’utilisation des œuvres (musique, fictions et séries, films, documentaires).</w:t>
      </w: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La décision de Bolloré, unilatérale, a été prise en effet sans que ces sociétés n’en soient averties.</w:t>
      </w:r>
    </w:p>
    <w:p w:rsidR="00DD7D60" w:rsidRPr="00920A9F" w:rsidRDefault="00DD7D60" w:rsidP="00DD7D60">
      <w:pPr>
        <w:jc w:val="both"/>
        <w:rPr>
          <w:rFonts w:ascii="Arial" w:eastAsia="Times New Roman" w:hAnsi="Arial"/>
          <w:shd w:val="clear" w:color="auto" w:fill="FFFFFF"/>
        </w:rPr>
      </w:pP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Vincent Bolloré entend renégocier à la baisse tous les accords, après avoir pris en otage les auteurs privés de leur juste rémunération : il veut obtenir un rabais pouv</w:t>
      </w:r>
      <w:r>
        <w:rPr>
          <w:rFonts w:ascii="Arial" w:eastAsia="Times New Roman" w:hAnsi="Arial"/>
          <w:shd w:val="clear" w:color="auto" w:fill="FFFFFF"/>
        </w:rPr>
        <w:t>ant aller jusqu’à 80</w:t>
      </w:r>
      <w:r w:rsidRPr="00920A9F">
        <w:rPr>
          <w:rFonts w:ascii="Arial" w:eastAsia="Times New Roman" w:hAnsi="Arial"/>
          <w:shd w:val="clear" w:color="auto" w:fill="FFFFFF"/>
        </w:rPr>
        <w:t>% des droits. Les créateurs qui vivent déjà chichement apprécieront.</w:t>
      </w: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Le groupe Canal+ n’est pas en difficulté, loin de là, mais depuis l’entrée tonitruante de Bolloré dans le capital de Vivendi et ses décisions pour le moins grossières, la chaîne payante connaît une hémorragie d’abonnés en France, largement compensée par les gains à l’étranger, notamment en Afrique.</w:t>
      </w:r>
    </w:p>
    <w:p w:rsidR="00DD7D60" w:rsidRPr="00920A9F" w:rsidRDefault="00DD7D60" w:rsidP="00DD7D60">
      <w:pPr>
        <w:jc w:val="both"/>
        <w:rPr>
          <w:rFonts w:ascii="Arial" w:eastAsia="Times New Roman" w:hAnsi="Arial"/>
          <w:shd w:val="clear" w:color="auto" w:fill="FFFFFF"/>
        </w:rPr>
      </w:pP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Mais l’appétit de Bolloré est gargantuesque et il entend maintenir les dividendes à un haut niveau sur le dos des auteurs et créateurs.</w:t>
      </w:r>
    </w:p>
    <w:p w:rsidR="00DD7D60" w:rsidRPr="00920A9F" w:rsidRDefault="00DD7D60" w:rsidP="00DD7D60">
      <w:pPr>
        <w:jc w:val="both"/>
        <w:rPr>
          <w:rFonts w:ascii="Arial" w:eastAsia="Times New Roman" w:hAnsi="Arial"/>
          <w:shd w:val="clear" w:color="auto" w:fill="FFFFFF"/>
        </w:rPr>
      </w:pP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En 2015, c’est Patrick Drahi qui s’était illustré en ne payant pas les sous-traitants de SFR, exigeant une baisse de 30 % du montant des factures. Patrick Drahi avait osé déclarer : « </w:t>
      </w:r>
      <w:r w:rsidRPr="00920A9F">
        <w:rPr>
          <w:rFonts w:ascii="Arial" w:eastAsia="Times New Roman" w:hAnsi="Arial" w:cs="Arial"/>
          <w:i/>
          <w:iCs/>
        </w:rPr>
        <w:t>Ceux qui nous suivent, ce sont les vrais bons […] les autres ce n’est pas forcément les meilleurs [...]</w:t>
      </w:r>
      <w:r w:rsidRPr="00920A9F">
        <w:rPr>
          <w:rFonts w:ascii="Arial" w:eastAsia="Times New Roman" w:hAnsi="Arial" w:cs="Arial"/>
          <w:shd w:val="clear" w:color="auto" w:fill="FFFFFF"/>
        </w:rPr>
        <w:t> </w:t>
      </w:r>
      <w:r w:rsidRPr="00920A9F">
        <w:rPr>
          <w:rFonts w:ascii="Arial" w:eastAsia="Times New Roman" w:hAnsi="Arial" w:cs="Arial"/>
          <w:i/>
          <w:iCs/>
        </w:rPr>
        <w:t>Certains fournisseurs ne veulent pas bouger parce qu’ils sont habitués à se servir sur une entreprise qui gagnait 4 milliards par an. C’est terminé, ça</w:t>
      </w:r>
      <w:r w:rsidRPr="00920A9F">
        <w:rPr>
          <w:rFonts w:ascii="Arial" w:eastAsia="Times New Roman" w:hAnsi="Arial" w:cs="Arial"/>
          <w:shd w:val="clear" w:color="auto" w:fill="FFFFFF"/>
        </w:rPr>
        <w:t> ». Bolloré a suivi l’exemple.</w:t>
      </w:r>
    </w:p>
    <w:p w:rsidR="00DD7D60" w:rsidRPr="00920A9F" w:rsidRDefault="00DD7D60" w:rsidP="00DD7D60">
      <w:pPr>
        <w:jc w:val="both"/>
        <w:rPr>
          <w:rFonts w:ascii="Arial" w:eastAsia="Times New Roman" w:hAnsi="Arial"/>
          <w:shd w:val="clear" w:color="auto" w:fill="FFFFFF"/>
        </w:rPr>
      </w:pPr>
    </w:p>
    <w:p w:rsidR="00DD7D60" w:rsidRPr="00162485"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La morgue des plus grosses fortunes françaises est sans limite ; Drahi (8</w:t>
      </w:r>
      <w:r w:rsidRPr="00920A9F">
        <w:rPr>
          <w:rFonts w:ascii="Arial" w:eastAsia="Times New Roman" w:hAnsi="Arial"/>
          <w:shd w:val="clear" w:color="auto" w:fill="FFFFFF"/>
          <w:vertAlign w:val="superscript"/>
        </w:rPr>
        <w:t>e</w:t>
      </w:r>
      <w:r w:rsidRPr="00920A9F">
        <w:rPr>
          <w:rFonts w:ascii="Arial" w:eastAsia="Times New Roman" w:hAnsi="Arial"/>
          <w:shd w:val="clear" w:color="auto" w:fill="FFFFFF"/>
        </w:rPr>
        <w:t xml:space="preserve"> avec 14,7 milliards d’euros) et Bolloré (11</w:t>
      </w:r>
      <w:r w:rsidRPr="00920A9F">
        <w:rPr>
          <w:rFonts w:ascii="Arial" w:eastAsia="Times New Roman" w:hAnsi="Arial"/>
          <w:shd w:val="clear" w:color="auto" w:fill="FFFFFF"/>
          <w:vertAlign w:val="superscript"/>
        </w:rPr>
        <w:t>e</w:t>
      </w:r>
      <w:r w:rsidRPr="00920A9F">
        <w:rPr>
          <w:rFonts w:ascii="Arial" w:eastAsia="Times New Roman" w:hAnsi="Arial"/>
          <w:shd w:val="clear" w:color="auto" w:fill="FFFFFF"/>
        </w:rPr>
        <w:t xml:space="preserve"> cette année, détrôné par Xavier Niel) font preuve de la cupidité habituelle de leur caste, celle des nantis.</w:t>
      </w:r>
      <w:r>
        <w:rPr>
          <w:rFonts w:ascii="Arial" w:eastAsia="Times New Roman" w:hAnsi="Arial"/>
          <w:shd w:val="clear" w:color="auto" w:fill="FFFFFF"/>
        </w:rPr>
        <w:t xml:space="preserve"> </w:t>
      </w:r>
      <w:r w:rsidRPr="00071CE2">
        <w:rPr>
          <w:rFonts w:ascii="Arial" w:eastAsia="Times New Roman" w:hAnsi="Arial" w:cs="Arial"/>
        </w:rPr>
        <w:t xml:space="preserve">Les auteurs, les journalistes, et plus largement tous les salariés, contribuent </w:t>
      </w:r>
      <w:r>
        <w:rPr>
          <w:rFonts w:ascii="Arial" w:eastAsia="Times New Roman" w:hAnsi="Arial" w:cs="Arial"/>
        </w:rPr>
        <w:t xml:space="preserve">pourtant largement </w:t>
      </w:r>
      <w:r w:rsidRPr="00071CE2">
        <w:rPr>
          <w:rFonts w:ascii="Arial" w:eastAsia="Times New Roman" w:hAnsi="Arial" w:cs="Arial"/>
        </w:rPr>
        <w:t xml:space="preserve">à la création des richesses de </w:t>
      </w:r>
      <w:r>
        <w:rPr>
          <w:rFonts w:ascii="Arial" w:eastAsia="Times New Roman" w:hAnsi="Arial" w:cs="Arial"/>
        </w:rPr>
        <w:t>leurs</w:t>
      </w:r>
      <w:r w:rsidRPr="00071CE2">
        <w:rPr>
          <w:rFonts w:ascii="Arial" w:eastAsia="Times New Roman" w:hAnsi="Arial" w:cs="Arial"/>
        </w:rPr>
        <w:t xml:space="preserve"> entreprises. Or ces patrons d'entreprises cherchent </w:t>
      </w:r>
      <w:r>
        <w:rPr>
          <w:rFonts w:ascii="Arial" w:eastAsia="Times New Roman" w:hAnsi="Arial" w:cs="Arial"/>
        </w:rPr>
        <w:t xml:space="preserve">toujours </w:t>
      </w:r>
      <w:r w:rsidRPr="00071CE2">
        <w:rPr>
          <w:rFonts w:ascii="Arial" w:eastAsia="Times New Roman" w:hAnsi="Arial" w:cs="Arial"/>
        </w:rPr>
        <w:t xml:space="preserve">à réduire la part qui revient aux travailleurs pour augmenter celle du capital. </w:t>
      </w:r>
    </w:p>
    <w:p w:rsidR="00DD7D60" w:rsidRPr="00920A9F" w:rsidRDefault="00DD7D60" w:rsidP="00DD7D60">
      <w:pPr>
        <w:jc w:val="both"/>
        <w:rPr>
          <w:rFonts w:ascii="Arial" w:eastAsia="Times New Roman" w:hAnsi="Arial"/>
          <w:shd w:val="clear" w:color="auto" w:fill="FFFFFF"/>
        </w:rPr>
      </w:pPr>
    </w:p>
    <w:p w:rsidR="00DD7D60" w:rsidRPr="00920A9F"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Le SNJ-CGT condamne leurs attitudes et se félicite que certaines sociétés de gestion collective des droits d’auteurs comme la SCAM</w:t>
      </w:r>
      <w:r>
        <w:rPr>
          <w:rFonts w:ascii="Arial" w:eastAsia="Times New Roman" w:hAnsi="Arial"/>
          <w:shd w:val="clear" w:color="auto" w:fill="FFFFFF"/>
        </w:rPr>
        <w:t xml:space="preserve"> porte</w:t>
      </w:r>
      <w:r w:rsidRPr="00920A9F">
        <w:rPr>
          <w:rFonts w:ascii="Arial" w:eastAsia="Times New Roman" w:hAnsi="Arial"/>
          <w:shd w:val="clear" w:color="auto" w:fill="FFFFFF"/>
        </w:rPr>
        <w:t xml:space="preserve"> le conflit devant la justice, non sans s’étonner du silence de la nouvelle ministre de la culture.</w:t>
      </w:r>
    </w:p>
    <w:p w:rsidR="00DD7D60" w:rsidRDefault="00DD7D60" w:rsidP="00DD7D60">
      <w:pPr>
        <w:jc w:val="both"/>
        <w:rPr>
          <w:rFonts w:ascii="Arial" w:eastAsia="Times New Roman" w:hAnsi="Arial"/>
          <w:shd w:val="clear" w:color="auto" w:fill="FFFFFF"/>
        </w:rPr>
      </w:pPr>
      <w:r w:rsidRPr="00920A9F">
        <w:rPr>
          <w:rFonts w:ascii="Arial" w:eastAsia="Times New Roman" w:hAnsi="Arial"/>
          <w:shd w:val="clear" w:color="auto" w:fill="FFFFFF"/>
        </w:rPr>
        <w:t>La nouveauté, rue de Valois, est-ce la fin de la défense des droits d’auteurs des créateurs ?</w:t>
      </w:r>
    </w:p>
    <w:p w:rsidR="00DD7D60" w:rsidRDefault="00DD7D60" w:rsidP="00DD7D60">
      <w:pPr>
        <w:jc w:val="both"/>
        <w:rPr>
          <w:rFonts w:ascii="Arial" w:eastAsia="Times New Roman" w:hAnsi="Arial"/>
          <w:shd w:val="clear" w:color="auto" w:fill="FFFFFF"/>
        </w:rPr>
      </w:pPr>
    </w:p>
    <w:p w:rsidR="00DD7D60" w:rsidRPr="00920A9F" w:rsidRDefault="00DD7D60" w:rsidP="00DD7D60">
      <w:pPr>
        <w:jc w:val="both"/>
        <w:rPr>
          <w:rFonts w:ascii="Arial" w:eastAsia="Times New Roman" w:hAnsi="Arial"/>
          <w:shd w:val="clear" w:color="auto" w:fill="FFFFFF"/>
        </w:rPr>
      </w:pPr>
    </w:p>
    <w:p w:rsidR="00DD7D60" w:rsidRPr="00920A9F" w:rsidRDefault="00DD7D60" w:rsidP="00DD7D60">
      <w:pPr>
        <w:rPr>
          <w:rFonts w:ascii="Arial" w:hAnsi="Arial" w:cs="Arial"/>
        </w:rPr>
      </w:pPr>
      <w:r w:rsidRPr="00920A9F">
        <w:rPr>
          <w:rFonts w:ascii="Arial" w:hAnsi="Arial" w:cs="Arial"/>
        </w:rPr>
        <w:t xml:space="preserve">Montreuil, le </w:t>
      </w:r>
      <w:r>
        <w:rPr>
          <w:rFonts w:ascii="Arial" w:hAnsi="Arial" w:cs="Arial"/>
        </w:rPr>
        <w:t>lundi 3 juillet 2017</w:t>
      </w:r>
    </w:p>
    <w:sectPr w:rsidR="00DD7D60" w:rsidRPr="00920A9F" w:rsidSect="00A3692C">
      <w:footerReference w:type="default" r:id="rId8"/>
      <w:pgSz w:w="11906" w:h="16838"/>
      <w:pgMar w:top="1417" w:right="1417" w:bottom="1417" w:left="1417"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99C" w:rsidRDefault="0095499C" w:rsidP="00004FBE">
      <w:r>
        <w:separator/>
      </w:r>
    </w:p>
  </w:endnote>
  <w:endnote w:type="continuationSeparator" w:id="0">
    <w:p w:rsidR="0095499C" w:rsidRDefault="0095499C" w:rsidP="00004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AE" w:rsidRPr="006036CB" w:rsidRDefault="00112CAE"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112CAE" w:rsidRPr="006036CB" w:rsidRDefault="00112CAE" w:rsidP="00004FBE">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p w:rsidR="00112CAE" w:rsidRDefault="00112C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99C" w:rsidRDefault="0095499C" w:rsidP="00004FBE">
      <w:r>
        <w:separator/>
      </w:r>
    </w:p>
  </w:footnote>
  <w:footnote w:type="continuationSeparator" w:id="0">
    <w:p w:rsidR="0095499C" w:rsidRDefault="0095499C" w:rsidP="00004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96B994"/>
    <w:lvl w:ilvl="0">
      <w:start w:val="1"/>
      <w:numFmt w:val="decimal"/>
      <w:lvlText w:val="%1."/>
      <w:lvlJc w:val="left"/>
      <w:pPr>
        <w:tabs>
          <w:tab w:val="num" w:pos="1492"/>
        </w:tabs>
        <w:ind w:left="1492" w:hanging="360"/>
      </w:pPr>
    </w:lvl>
  </w:abstractNum>
  <w:abstractNum w:abstractNumId="2">
    <w:nsid w:val="FFFFFF7D"/>
    <w:multiLevelType w:val="singleLevel"/>
    <w:tmpl w:val="BE925986"/>
    <w:lvl w:ilvl="0">
      <w:start w:val="1"/>
      <w:numFmt w:val="decimal"/>
      <w:lvlText w:val="%1."/>
      <w:lvlJc w:val="left"/>
      <w:pPr>
        <w:tabs>
          <w:tab w:val="num" w:pos="1209"/>
        </w:tabs>
        <w:ind w:left="1209" w:hanging="360"/>
      </w:pPr>
    </w:lvl>
  </w:abstractNum>
  <w:abstractNum w:abstractNumId="3">
    <w:nsid w:val="FFFFFF7E"/>
    <w:multiLevelType w:val="singleLevel"/>
    <w:tmpl w:val="9BF696E0"/>
    <w:lvl w:ilvl="0">
      <w:start w:val="1"/>
      <w:numFmt w:val="decimal"/>
      <w:lvlText w:val="%1."/>
      <w:lvlJc w:val="left"/>
      <w:pPr>
        <w:tabs>
          <w:tab w:val="num" w:pos="926"/>
        </w:tabs>
        <w:ind w:left="926" w:hanging="360"/>
      </w:pPr>
    </w:lvl>
  </w:abstractNum>
  <w:abstractNum w:abstractNumId="4">
    <w:nsid w:val="FFFFFF7F"/>
    <w:multiLevelType w:val="singleLevel"/>
    <w:tmpl w:val="B4EC7674"/>
    <w:lvl w:ilvl="0">
      <w:start w:val="1"/>
      <w:numFmt w:val="decimal"/>
      <w:lvlText w:val="%1."/>
      <w:lvlJc w:val="left"/>
      <w:pPr>
        <w:tabs>
          <w:tab w:val="num" w:pos="643"/>
        </w:tabs>
        <w:ind w:left="643" w:hanging="360"/>
      </w:pPr>
    </w:lvl>
  </w:abstractNum>
  <w:abstractNum w:abstractNumId="5">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93667EE"/>
    <w:lvl w:ilvl="0">
      <w:start w:val="1"/>
      <w:numFmt w:val="decimal"/>
      <w:lvlText w:val="%1."/>
      <w:lvlJc w:val="left"/>
      <w:pPr>
        <w:tabs>
          <w:tab w:val="num" w:pos="360"/>
        </w:tabs>
        <w:ind w:left="360" w:hanging="360"/>
      </w:pPr>
    </w:lvl>
  </w:abstractNum>
  <w:abstractNum w:abstractNumId="1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036CB"/>
    <w:rsid w:val="00004FBE"/>
    <w:rsid w:val="000227F2"/>
    <w:rsid w:val="00112CAE"/>
    <w:rsid w:val="001C0190"/>
    <w:rsid w:val="00327396"/>
    <w:rsid w:val="0039552B"/>
    <w:rsid w:val="0047289A"/>
    <w:rsid w:val="004C43E7"/>
    <w:rsid w:val="005723C5"/>
    <w:rsid w:val="006036CB"/>
    <w:rsid w:val="00654B13"/>
    <w:rsid w:val="00685D17"/>
    <w:rsid w:val="006F06EC"/>
    <w:rsid w:val="00755196"/>
    <w:rsid w:val="007B2829"/>
    <w:rsid w:val="008438D9"/>
    <w:rsid w:val="008B4B65"/>
    <w:rsid w:val="008D1A9E"/>
    <w:rsid w:val="008E3798"/>
    <w:rsid w:val="0095499C"/>
    <w:rsid w:val="009615C4"/>
    <w:rsid w:val="00A35AF7"/>
    <w:rsid w:val="00A3692C"/>
    <w:rsid w:val="00AC0481"/>
    <w:rsid w:val="00AC0884"/>
    <w:rsid w:val="00B9003E"/>
    <w:rsid w:val="00C51510"/>
    <w:rsid w:val="00D02828"/>
    <w:rsid w:val="00DD7D60"/>
    <w:rsid w:val="00E64BAF"/>
    <w:rsid w:val="00EE6890"/>
    <w:rsid w:val="00F00273"/>
    <w:rsid w:val="00F72C62"/>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hAnsi="Times"/>
      <w:sz w:val="20"/>
      <w:szCs w:val="20"/>
      <w:lang w:eastAsia="fr-FR"/>
    </w:rPr>
  </w:style>
  <w:style w:type="paragraph" w:customStyle="1" w:styleId="m7170717675722101039s9">
    <w:name w:val="m_7170717675722101039s9"/>
    <w:basedOn w:val="Normal"/>
    <w:rsid w:val="00112CAE"/>
    <w:pPr>
      <w:spacing w:beforeLines="1" w:afterLines="1"/>
    </w:pPr>
    <w:rPr>
      <w:rFonts w:ascii="Times" w:hAnsi="Times"/>
      <w:sz w:val="20"/>
      <w:szCs w:val="20"/>
      <w:lang w:eastAsia="fr-FR"/>
    </w:rPr>
  </w:style>
</w:styles>
</file>

<file path=word/webSettings.xml><?xml version="1.0" encoding="utf-8"?>
<w:webSettings xmlns:r="http://schemas.openxmlformats.org/officeDocument/2006/relationships" xmlns:w="http://schemas.openxmlformats.org/wordprocessingml/2006/main">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2237</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Microsoft</Company>
  <LinksUpToDate>false</LinksUpToDate>
  <CharactersWithSpaces>2638</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SNJ POSTE 2</cp:lastModifiedBy>
  <cp:revision>2</cp:revision>
  <cp:lastPrinted>2017-04-26T10:19:00Z</cp:lastPrinted>
  <dcterms:created xsi:type="dcterms:W3CDTF">2017-07-03T07:33:00Z</dcterms:created>
  <dcterms:modified xsi:type="dcterms:W3CDTF">2017-07-03T07:33:00Z</dcterms:modified>
</cp:coreProperties>
</file>